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B20E1" w14:textId="77777777" w:rsidR="004E5DC8" w:rsidRPr="00CB0D94" w:rsidRDefault="004E5DC8" w:rsidP="0022233E">
      <w:pPr>
        <w:pStyle w:val="TableParagraph"/>
      </w:pPr>
    </w:p>
    <w:p w14:paraId="3BB294C2" w14:textId="52E03741" w:rsidR="009E5B93" w:rsidRPr="0022233E" w:rsidRDefault="004E5DC8" w:rsidP="009E5B93">
      <w:pPr>
        <w:jc w:val="center"/>
        <w:rPr>
          <w:rFonts w:ascii="Cambria" w:hAnsi="Cambria" w:cs="Times New Roman"/>
          <w:b/>
          <w:bCs/>
          <w:u w:val="single"/>
          <w:lang w:bidi="hr-HR"/>
        </w:rPr>
      </w:pPr>
      <w:r w:rsidRPr="0022233E">
        <w:rPr>
          <w:rFonts w:ascii="Cambria" w:hAnsi="Cambria" w:cs="Times New Roman"/>
          <w:b/>
          <w:bCs/>
          <w:u w:val="single"/>
          <w:lang w:bidi="hr-HR"/>
        </w:rPr>
        <w:t>Nabava opreme za unapređ</w:t>
      </w:r>
      <w:r w:rsidR="0022233E" w:rsidRPr="0022233E">
        <w:rPr>
          <w:rFonts w:ascii="Cambria" w:hAnsi="Cambria" w:cs="Times New Roman"/>
          <w:b/>
          <w:bCs/>
          <w:u w:val="single"/>
          <w:lang w:bidi="hr-HR"/>
        </w:rPr>
        <w:t xml:space="preserve">enje IKT infrastrukture / </w:t>
      </w:r>
      <w:r w:rsidRPr="0022233E">
        <w:rPr>
          <w:rFonts w:ascii="Cambria" w:eastAsia="Calibri" w:hAnsi="Cambria" w:cs="Cambria"/>
          <w:b/>
          <w:color w:val="5B9BD5"/>
          <w:u w:val="single"/>
        </w:rPr>
        <w:t>Procurement of equipment for the improvement of ICT infrastructure</w:t>
      </w:r>
    </w:p>
    <w:p w14:paraId="6D79880A" w14:textId="601C5774" w:rsidR="009E5B93" w:rsidRDefault="0022233E" w:rsidP="009E5B93">
      <w:pPr>
        <w:ind w:right="531"/>
        <w:jc w:val="center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GRUPA 2: IMPLEMENTACIJA / </w:t>
      </w:r>
      <w:r w:rsidRPr="0022233E">
        <w:rPr>
          <w:rFonts w:ascii="Cambria" w:eastAsia="Calibri" w:hAnsi="Cambria" w:cs="Cambria"/>
          <w:color w:val="5B9BD5"/>
        </w:rPr>
        <w:t>LOT 2: IMPLEMENTATION</w:t>
      </w:r>
    </w:p>
    <w:p w14:paraId="6A64DC25" w14:textId="77777777" w:rsidR="009E5B93" w:rsidRDefault="009E5B93" w:rsidP="009E5B93">
      <w:pPr>
        <w:ind w:right="531"/>
        <w:jc w:val="center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PRILOG III DOKUMENTACIJE ZA NADMETANJE </w:t>
      </w:r>
      <w:r>
        <w:rPr>
          <w:rFonts w:ascii="Cambria" w:eastAsia="Calibri" w:hAnsi="Cambria" w:cs="Cambria"/>
          <w:color w:val="5B9BD5"/>
        </w:rPr>
        <w:t>/ ANNEX III OF TENDER DOCUMENTATION</w:t>
      </w:r>
    </w:p>
    <w:p w14:paraId="3A5E62AA" w14:textId="21D52E21" w:rsidR="009E5B93" w:rsidRDefault="009E5B93" w:rsidP="009E5B93">
      <w:pPr>
        <w:spacing w:after="0" w:line="100" w:lineRule="atLeast"/>
        <w:ind w:left="10" w:hanging="10"/>
        <w:jc w:val="center"/>
        <w:rPr>
          <w:rFonts w:ascii="Cambria" w:eastAsia="Calibri" w:hAnsi="Cambria" w:cs="Cambria"/>
          <w:color w:val="5B9BD5"/>
        </w:rPr>
      </w:pPr>
      <w:r>
        <w:rPr>
          <w:rFonts w:ascii="Cambria" w:eastAsia="Calibri" w:hAnsi="Cambria" w:cs="Cambria"/>
          <w:color w:val="000000"/>
        </w:rPr>
        <w:t>TEHNIČKE SPECIFIKACIJE /</w:t>
      </w:r>
      <w:r>
        <w:rPr>
          <w:rFonts w:ascii="Cambria" w:eastAsia="Calibri" w:hAnsi="Cambria" w:cs="Cambria"/>
          <w:color w:val="5B9BD5"/>
        </w:rPr>
        <w:t xml:space="preserve"> TECHNICAL SPECIFICATIONS </w:t>
      </w:r>
    </w:p>
    <w:p w14:paraId="51FBEAD3" w14:textId="77777777" w:rsidR="009E5B93" w:rsidRDefault="009E5B93" w:rsidP="009E5B93">
      <w:pPr>
        <w:spacing w:after="0" w:line="100" w:lineRule="atLeast"/>
        <w:ind w:left="10" w:hanging="10"/>
        <w:jc w:val="center"/>
        <w:rPr>
          <w:rFonts w:ascii="Cambria" w:eastAsia="Calibri" w:hAnsi="Cambria" w:cs="Cambria"/>
          <w:color w:val="5B9BD5"/>
        </w:rPr>
      </w:pPr>
    </w:p>
    <w:p w14:paraId="486C7D0A" w14:textId="77777777" w:rsidR="009E5B93" w:rsidRDefault="009E5B93" w:rsidP="009E5B93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Zahtjevi definirani Tehničkim specifikacijama predstavljaju minimalne tehničke karakteristike koje ponuđena roba mora zadovoljavati te se iste ne smiju mijenjati od strane ponuditelja./ </w:t>
      </w:r>
      <w:r>
        <w:rPr>
          <w:rFonts w:ascii="Cambria" w:eastAsia="Calibri" w:hAnsi="Cambria" w:cs="Cambria"/>
          <w:color w:val="5B9BD5"/>
        </w:rPr>
        <w:t xml:space="preserve">Requirements of Technical Specifications represent minimum technical requirements for the offered supplies, and are not to be changed by tenderer. </w:t>
      </w:r>
    </w:p>
    <w:p w14:paraId="0505C10D" w14:textId="77777777" w:rsidR="009E5B93" w:rsidRDefault="009E5B93" w:rsidP="009E5B93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 </w:t>
      </w:r>
    </w:p>
    <w:p w14:paraId="48CBD016" w14:textId="77777777" w:rsidR="009E5B93" w:rsidRDefault="009E5B93" w:rsidP="009E5B93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>Ponuditelj obavezno popunjava stupac «Ponuđene karakteristike» definirajući detaljno tehničke specifikacije ponuđene robe (napomena: ponuditelj popunjava tehničke specifikacije upisujući točne karakteristike ponuđene robe, izbjegavajući pri tome popunjavanje stupca samo riječima kao što su npr. „zadovoljava“, „DA“, „jednakovrijedno traženom“ ili „odgovara traženom“)./</w:t>
      </w:r>
      <w:r>
        <w:rPr>
          <w:rFonts w:ascii="Cambria" w:eastAsia="Calibri" w:hAnsi="Cambria" w:cs="Cambria"/>
          <w:color w:val="5B9BD5"/>
        </w:rPr>
        <w:t xml:space="preserve"> Tenderer shall complete column „Specifications offered “, defining in detail technical specifications of offered supplies (note: tenderer fills the exact specifications of offered supplies, while avoiding filling the columns only with words “compliant” and, “equivalent„ or “yes”).   </w:t>
      </w:r>
    </w:p>
    <w:p w14:paraId="4DFAB6F4" w14:textId="77777777" w:rsidR="009E5B93" w:rsidRDefault="009E5B93" w:rsidP="009E5B93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 </w:t>
      </w:r>
    </w:p>
    <w:p w14:paraId="26499C1D" w14:textId="77777777" w:rsidR="009E5B93" w:rsidRDefault="009E5B93" w:rsidP="009E5B93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Stupac «Bilješke, napomene, reference na dokumentaciju» ponuditelj može popuniti ukoliko smatra potrebnim./ </w:t>
      </w:r>
      <w:r>
        <w:rPr>
          <w:rFonts w:ascii="Cambria" w:eastAsia="Calibri" w:hAnsi="Cambria" w:cs="Cambria"/>
          <w:color w:val="5B9BD5"/>
        </w:rPr>
        <w:t>Column „Notes, remarks, references to documentation„ may be filled by the tenderer if the tenderer considers it necessary.</w:t>
      </w:r>
      <w:r>
        <w:rPr>
          <w:rFonts w:ascii="Cambria" w:eastAsia="Calibri" w:hAnsi="Cambria" w:cs="Cambria"/>
          <w:color w:val="000000"/>
        </w:rPr>
        <w:t xml:space="preserve"> </w:t>
      </w:r>
    </w:p>
    <w:p w14:paraId="70F6C678" w14:textId="77777777" w:rsidR="009E5B93" w:rsidRDefault="009E5B93" w:rsidP="009E5B93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 </w:t>
      </w:r>
    </w:p>
    <w:p w14:paraId="4628E3CD" w14:textId="77777777" w:rsidR="009E5B93" w:rsidRDefault="009E5B93" w:rsidP="009E5B93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Stupac «Ocjena DA/NE» ponuditelj ne popunjava s obzirom na to da je stupac predviđen za ocjene Naručitelja./ </w:t>
      </w:r>
      <w:r>
        <w:rPr>
          <w:rFonts w:ascii="Cambria" w:eastAsia="Calibri" w:hAnsi="Cambria" w:cs="Cambria"/>
          <w:color w:val="5B9BD5"/>
        </w:rPr>
        <w:t>Column „Notes YES/NO„ is not to be filled by the tenderer, since that column should be completed by the Contracting Authority.</w:t>
      </w:r>
      <w:r>
        <w:rPr>
          <w:rFonts w:ascii="Cambria" w:eastAsia="Calibri" w:hAnsi="Cambria" w:cs="Cambria"/>
          <w:color w:val="000000"/>
        </w:rPr>
        <w:t xml:space="preserve"> </w:t>
      </w:r>
    </w:p>
    <w:p w14:paraId="29B81334" w14:textId="77777777" w:rsidR="009E5B93" w:rsidRDefault="009E5B93" w:rsidP="009E5B93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 </w:t>
      </w:r>
    </w:p>
    <w:p w14:paraId="15C582AB" w14:textId="77777777" w:rsidR="009E5B93" w:rsidRDefault="009E5B93" w:rsidP="009E5B93">
      <w:pPr>
        <w:spacing w:after="5" w:line="242" w:lineRule="auto"/>
        <w:ind w:left="10" w:hanging="10"/>
        <w:jc w:val="both"/>
        <w:rPr>
          <w:rFonts w:ascii="Cambria" w:eastAsia="Times New Roman" w:hAnsi="Cambria" w:cs="Cambria"/>
          <w:b/>
          <w:bCs/>
          <w:sz w:val="28"/>
          <w:szCs w:val="28"/>
        </w:rPr>
      </w:pPr>
      <w:r>
        <w:rPr>
          <w:rFonts w:ascii="Cambria" w:eastAsia="Calibri" w:hAnsi="Cambria" w:cs="Cambria"/>
          <w:color w:val="000000"/>
        </w:rPr>
        <w:t xml:space="preserve">Kako bi se ponuda smatrala valjanom, ponuđeni predmet nabave mora zadovoljiti sve što je traženo u obrascu Tehničkih specifikacija./ </w:t>
      </w:r>
      <w:r>
        <w:rPr>
          <w:rFonts w:ascii="Cambria" w:eastAsia="Calibri" w:hAnsi="Cambria" w:cs="Cambria"/>
          <w:color w:val="5B9BD5"/>
        </w:rPr>
        <w:t xml:space="preserve">For offer to be considered as compliant, offered supplies must meet all the requirements presented in the Technical Specifications </w:t>
      </w:r>
      <w:r>
        <w:rPr>
          <w:rFonts w:ascii="Cambria" w:eastAsia="Calibri" w:hAnsi="Cambria" w:cs="Cambria"/>
          <w:color w:val="000000"/>
        </w:rPr>
        <w:t xml:space="preserve"> </w:t>
      </w:r>
    </w:p>
    <w:p w14:paraId="57048D06" w14:textId="0832B852" w:rsidR="009E5B93" w:rsidRDefault="009E5B93" w:rsidP="004E5DC8">
      <w:pPr>
        <w:rPr>
          <w:rFonts w:ascii="Cambria" w:hAnsi="Cambria" w:cs="Times New Roman"/>
          <w:b/>
          <w:bCs/>
          <w:lang w:bidi="hr-HR"/>
        </w:rPr>
      </w:pPr>
    </w:p>
    <w:p w14:paraId="1CD5D9B0" w14:textId="77777777" w:rsidR="009E5B93" w:rsidRDefault="009E5B93" w:rsidP="004E5DC8">
      <w:pPr>
        <w:rPr>
          <w:rFonts w:ascii="Cambria" w:hAnsi="Cambria" w:cs="Times New Roman"/>
          <w:b/>
          <w:bCs/>
          <w:lang w:bidi="hr-HR"/>
        </w:rPr>
      </w:pPr>
    </w:p>
    <w:p w14:paraId="65C72715" w14:textId="77777777" w:rsidR="009E5B93" w:rsidRPr="00CB0D94" w:rsidRDefault="009E5B93" w:rsidP="004E5DC8">
      <w:pPr>
        <w:rPr>
          <w:rFonts w:ascii="Cambria" w:hAnsi="Cambria" w:cs="Times New Roman"/>
          <w:b/>
          <w:bCs/>
          <w:lang w:bidi="hr-HR"/>
        </w:rPr>
      </w:pPr>
    </w:p>
    <w:tbl>
      <w:tblPr>
        <w:tblW w:w="142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5851"/>
        <w:gridCol w:w="3028"/>
        <w:gridCol w:w="1985"/>
        <w:gridCol w:w="2150"/>
      </w:tblGrid>
      <w:tr w:rsidR="004E5DC8" w:rsidRPr="00CB0D94" w14:paraId="7B54F049" w14:textId="77777777" w:rsidTr="00FA474C">
        <w:trPr>
          <w:trHeight w:val="146"/>
        </w:trPr>
        <w:tc>
          <w:tcPr>
            <w:tcW w:w="1245" w:type="dxa"/>
            <w:shd w:val="clear" w:color="auto" w:fill="9CC2E5" w:themeFill="accent5" w:themeFillTint="99"/>
            <w:noWrap/>
            <w:vAlign w:val="center"/>
          </w:tcPr>
          <w:p w14:paraId="23F0F0B5" w14:textId="77777777" w:rsidR="004E5DC8" w:rsidRPr="00CB0D94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1.Stavka / Item</w:t>
            </w:r>
          </w:p>
        </w:tc>
        <w:tc>
          <w:tcPr>
            <w:tcW w:w="5851" w:type="dxa"/>
            <w:shd w:val="clear" w:color="auto" w:fill="9CC2E5" w:themeFill="accent5" w:themeFillTint="99"/>
            <w:vAlign w:val="center"/>
          </w:tcPr>
          <w:p w14:paraId="6D4F17AF" w14:textId="77777777" w:rsidR="004E5DC8" w:rsidRPr="00CB0D94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0E4C7CCE" w14:textId="77777777" w:rsidR="004E5DC8" w:rsidRPr="00CB0D94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2. Tražene karakteristike / Required characteristics</w:t>
            </w:r>
          </w:p>
        </w:tc>
        <w:tc>
          <w:tcPr>
            <w:tcW w:w="3028" w:type="dxa"/>
            <w:shd w:val="clear" w:color="auto" w:fill="9CC2E5" w:themeFill="accent5" w:themeFillTint="99"/>
            <w:noWrap/>
            <w:vAlign w:val="center"/>
          </w:tcPr>
          <w:p w14:paraId="275C916D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3. Ponuđene karakteristike / Offered characteristics</w:t>
            </w:r>
          </w:p>
        </w:tc>
        <w:tc>
          <w:tcPr>
            <w:tcW w:w="1985" w:type="dxa"/>
            <w:shd w:val="clear" w:color="auto" w:fill="9CC2E5" w:themeFill="accent5" w:themeFillTint="99"/>
            <w:noWrap/>
            <w:vAlign w:val="center"/>
          </w:tcPr>
          <w:p w14:paraId="2543CAFB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Bilješke, napomene, reference na dokumentaciju / Notes, references to documentation</w:t>
            </w:r>
          </w:p>
        </w:tc>
        <w:tc>
          <w:tcPr>
            <w:tcW w:w="2150" w:type="dxa"/>
            <w:shd w:val="clear" w:color="auto" w:fill="9CC2E5" w:themeFill="accent5" w:themeFillTint="99"/>
            <w:noWrap/>
            <w:vAlign w:val="center"/>
          </w:tcPr>
          <w:p w14:paraId="34CEC47E" w14:textId="77777777" w:rsidR="004E5DC8" w:rsidRPr="00CB0D94" w:rsidRDefault="004E5DC8" w:rsidP="00D74F10">
            <w:pPr>
              <w:spacing w:after="0" w:line="240" w:lineRule="auto"/>
              <w:ind w:firstLine="1528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Ocjene (da/ne) / Evaluation (yes/no)</w:t>
            </w:r>
          </w:p>
        </w:tc>
      </w:tr>
      <w:tr w:rsidR="00CB0D94" w:rsidRPr="00CB0D94" w14:paraId="47042F87" w14:textId="77777777" w:rsidTr="00DC1962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DFFF6" w14:textId="4FAA75D5" w:rsidR="00CB0D94" w:rsidRPr="00CB0D94" w:rsidRDefault="00CB0D94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color w:val="000000"/>
              </w:rPr>
              <w:t>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6C30" w14:textId="28C4D196" w:rsidR="00CB0D94" w:rsidRPr="00CB0D94" w:rsidRDefault="00CB0D94" w:rsidP="009D13D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Projektiranje, nabava opreme, postavljanje i podešavanje bežične mreže kroz cijelo imanje / 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Planning, equipment procurement, installation and configuration of wireless network through the entire property</w:t>
            </w: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FC7974D" w14:textId="77777777" w:rsidR="00CB0D94" w:rsidRPr="00CB0D94" w:rsidRDefault="00CB0D94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</w:tr>
      <w:tr w:rsidR="004E5DC8" w:rsidRPr="00CB0D94" w14:paraId="5BCFEAEB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01D9F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0C7E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r w:rsidRPr="00CB0D94">
              <w:rPr>
                <w:rFonts w:ascii="Cambria" w:eastAsia="Times New Roman" w:hAnsi="Cambria" w:cs="Times New Roman"/>
                <w:color w:val="5B9BD5" w:themeColor="accent5"/>
              </w:rPr>
              <w:t>Manufacturer/brand: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50C4C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5A73C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D8ABB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CB0D94" w14:paraId="34BEE53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4220C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F6AF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CB0D94">
              <w:rPr>
                <w:rFonts w:ascii="Cambria" w:eastAsia="Times New Roman" w:hAnsi="Cambria" w:cs="Times New Roman"/>
                <w:color w:val="5B9BD5" w:themeColor="accent5"/>
              </w:rPr>
              <w:t>Model/type: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6669F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BD3CE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94AFE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CB0D94" w14:paraId="0F84FAE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C3AE3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CA04" w14:textId="60D3611C" w:rsidR="004E5DC8" w:rsidRPr="00CB0D94" w:rsidRDefault="004E5DC8" w:rsidP="00D943AE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 xml:space="preserve">Količina: </w:t>
            </w:r>
            <w:r w:rsidR="00D943AE" w:rsidRPr="00CB0D94">
              <w:rPr>
                <w:rFonts w:ascii="Cambria" w:eastAsia="Times New Roman" w:hAnsi="Cambria" w:cs="Times New Roman"/>
                <w:color w:val="000000"/>
              </w:rPr>
              <w:t>1</w:t>
            </w:r>
            <w:r w:rsidR="00773593">
              <w:rPr>
                <w:rFonts w:ascii="Cambria" w:eastAsia="Times New Roman" w:hAnsi="Cambria" w:cs="Times New Roman"/>
                <w:color w:val="000000"/>
              </w:rPr>
              <w:t xml:space="preserve"> paket</w:t>
            </w:r>
            <w:r w:rsidRPr="00CB0D94">
              <w:rPr>
                <w:rFonts w:ascii="Cambria" w:eastAsia="Times New Roman" w:hAnsi="Cambria" w:cs="Times New Roman"/>
                <w:color w:val="000000"/>
              </w:rPr>
              <w:t xml:space="preserve">  / </w:t>
            </w:r>
            <w:r w:rsidRPr="00CB0D94">
              <w:rPr>
                <w:rFonts w:ascii="Cambria" w:eastAsia="Times New Roman" w:hAnsi="Cambria" w:cs="Times New Roman"/>
                <w:color w:val="5B9BD5" w:themeColor="accent5"/>
              </w:rPr>
              <w:t xml:space="preserve">Quantity: </w:t>
            </w:r>
            <w:r w:rsidR="00D943AE" w:rsidRPr="00CB0D94">
              <w:rPr>
                <w:rFonts w:ascii="Cambria" w:eastAsia="Times New Roman" w:hAnsi="Cambria" w:cs="Times New Roman"/>
                <w:color w:val="5B9BD5" w:themeColor="accent5"/>
              </w:rPr>
              <w:t>1</w:t>
            </w:r>
            <w:r w:rsidR="00773593">
              <w:rPr>
                <w:rFonts w:ascii="Cambria" w:eastAsia="Times New Roman" w:hAnsi="Cambria" w:cs="Times New Roman"/>
                <w:color w:val="5B9BD5" w:themeColor="accent5"/>
              </w:rPr>
              <w:t xml:space="preserve"> package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1D418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271FC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BC583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CB0D94" w14:paraId="696B0AC9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A07E4" w14:textId="4E69340D" w:rsidR="004E5DC8" w:rsidRPr="00CB0D94" w:rsidRDefault="003B21DD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1</w:t>
            </w:r>
            <w:r w:rsidR="004E5DC8" w:rsidRPr="00CB0D94">
              <w:rPr>
                <w:rFonts w:ascii="Cambria" w:eastAsia="Times New Roman" w:hAnsi="Cambria" w:cs="Times New Roman"/>
                <w:color w:val="000000"/>
              </w:rPr>
              <w:t>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BAD3" w14:textId="19BED63D" w:rsidR="004E5DC8" w:rsidRPr="00CB0D94" w:rsidRDefault="00595E03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Router</w:t>
            </w: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: SFP DDMI, CPU nominalna frekvencija 600 MHz, jednojezgreni procesor, RAM 128 MB, 5 10/100 Ethernet portova, 5 10/100/1000 Ethernet portova, Operativni sustav RouterOS ili jednakovrijedno / 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Router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: SFP DDMI, CPU nominal frequency 600 MHz, one core processor, RAM 128 MB, 5 10/100 Ethernet ports, 5 10/100/1000 Ethernet ports, Operating system RouterOS or equivalent value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51A5F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1BA07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A80C7" w14:textId="77777777" w:rsidR="004E5DC8" w:rsidRPr="00CB0D94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D7627" w:rsidRPr="00CB0D94" w14:paraId="45E4E0E2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EE891" w14:textId="21A90CAA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1.2.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EA00" w14:textId="27930DFF" w:rsidR="004D7627" w:rsidRPr="00CB0D94" w:rsidRDefault="004D7627" w:rsidP="001F59A8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3 sektor antene</w:t>
            </w: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: Procesor Qualcomm Atheros 560MHz </w:t>
            </w:r>
            <w:r w:rsidRPr="00CB0D94">
              <w:rPr>
                <w:rFonts w:ascii="Cambria" w:eastAsia="Times New Roman" w:hAnsi="Cambria" w:cs="Times New Roman"/>
                <w:bCs/>
              </w:rPr>
              <w:t>ili</w:t>
            </w: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 jednakovrijedno, memorija 64MB DDR2 RAM + 8MB Flash, ugrađena 9dBi 2x2 Dual-polarizirana smj</w:t>
            </w:r>
            <w:r w:rsidR="001F59A8"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erna antena ili </w:t>
            </w:r>
            <w:r w:rsidR="001F59A8" w:rsidRPr="00CB0D94">
              <w:rPr>
                <w:rFonts w:ascii="Cambria" w:eastAsia="Times New Roman" w:hAnsi="Cambria" w:cs="Times New Roman"/>
                <w:bCs/>
                <w:color w:val="000000"/>
              </w:rPr>
              <w:lastRenderedPageBreak/>
              <w:t xml:space="preserve">jednakovrijedno / </w:t>
            </w:r>
            <w:r w:rsidR="001F59A8"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3 sector antennas</w:t>
            </w:r>
            <w:r w:rsidR="001F59A8"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: Qualcomm Atheros 560MHz processor or equvialent value, memory 64MB DDR2 RAM + 8MB Flash, built-in 9dBi 2x2 Dual-polarized directional antenna or equivalent value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9EE5A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998D5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90EAD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D7627" w:rsidRPr="00CB0D94" w14:paraId="4359785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1EE49" w14:textId="4F8CB04D" w:rsidR="004D7627" w:rsidRPr="00CB0D94" w:rsidRDefault="001F59A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1.3.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42E8" w14:textId="3A2AB54A" w:rsidR="004D7627" w:rsidRPr="00CB0D94" w:rsidRDefault="001F59A8" w:rsidP="00B433F4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Switch: </w:t>
            </w: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procesor QCA8511 400MHz ili jednakovrijedno, RAM 128 MB, Flash </w:t>
            </w:r>
            <w:r w:rsidR="00B433F4" w:rsidRPr="00CB0D94">
              <w:rPr>
                <w:rFonts w:ascii="Cambria" w:eastAsia="Times New Roman" w:hAnsi="Cambria" w:cs="Times New Roman"/>
                <w:bCs/>
                <w:color w:val="000000"/>
              </w:rPr>
              <w:t>pohrana memorije (16MB), Gigabit ethernet combo port ili jednakovrijedno</w:t>
            </w: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Switch</w:t>
            </w:r>
            <w:r w:rsidR="00B433F4"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: </w:t>
            </w:r>
            <w:r w:rsidR="00B433F4"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procesor QCA8511 400Mhz or  equivalent value, RAM 128 MB, Flash memory storage type (16MB), Gigabit ethernet combo port or equivalent value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696B3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01164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8044A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D7627" w:rsidRPr="00CB0D94" w14:paraId="3E78920C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0E75C" w14:textId="6B5719F5" w:rsidR="004D7627" w:rsidRPr="00CB0D94" w:rsidRDefault="00B433F4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1.</w:t>
            </w:r>
            <w:r w:rsidR="00B259F1" w:rsidRPr="00CB0D94">
              <w:rPr>
                <w:rFonts w:ascii="Cambria" w:eastAsia="Times New Roman" w:hAnsi="Cambria" w:cs="Times New Roman"/>
                <w:color w:val="000000"/>
              </w:rPr>
              <w:t>4</w:t>
            </w:r>
            <w:r w:rsidRPr="00CB0D94">
              <w:rPr>
                <w:rFonts w:ascii="Cambria" w:eastAsia="Times New Roman" w:hAnsi="Cambria" w:cs="Times New Roman"/>
                <w:color w:val="000000"/>
              </w:rPr>
              <w:t>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9A66" w14:textId="01278853" w:rsidR="004D7627" w:rsidRPr="00CB0D94" w:rsidRDefault="00E74DD1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Satelitska antena: promjer tanjura 120cm / 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Satelite antenna: dish diameter 120 cm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81D0F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FB8C4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01BD5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D7627" w:rsidRPr="00CB0D94" w14:paraId="6DC53D3C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79DC4" w14:textId="18D8426C" w:rsidR="004D7627" w:rsidRPr="00CB0D94" w:rsidRDefault="00E74DD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1.</w:t>
            </w:r>
            <w:r w:rsidR="00B259F1" w:rsidRPr="00CB0D94">
              <w:rPr>
                <w:rFonts w:ascii="Cambria" w:eastAsia="Times New Roman" w:hAnsi="Cambria" w:cs="Times New Roman"/>
                <w:color w:val="000000"/>
              </w:rPr>
              <w:t>5</w:t>
            </w:r>
            <w:r w:rsidRPr="00CB0D94">
              <w:rPr>
                <w:rFonts w:ascii="Cambria" w:eastAsia="Times New Roman" w:hAnsi="Cambria" w:cs="Times New Roman"/>
                <w:color w:val="000000"/>
              </w:rPr>
              <w:t>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4604" w14:textId="4C4E4EA4" w:rsidR="004D7627" w:rsidRPr="00CB0D94" w:rsidRDefault="00061369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>Nosač TRIA pro ili jednakovrijedno /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TRIA pro carrier or equivalent value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6CAD1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F72B7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0B891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D7627" w:rsidRPr="00CB0D94" w14:paraId="7308FE4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B073B" w14:textId="26142B2A" w:rsidR="004D7627" w:rsidRPr="00CB0D94" w:rsidRDefault="00061369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1.</w:t>
            </w:r>
            <w:r w:rsidR="00B259F1" w:rsidRPr="00CB0D94">
              <w:rPr>
                <w:rFonts w:ascii="Cambria" w:eastAsia="Times New Roman" w:hAnsi="Cambria" w:cs="Times New Roman"/>
                <w:color w:val="000000"/>
              </w:rPr>
              <w:t>6</w:t>
            </w:r>
            <w:r w:rsidRPr="00CB0D94">
              <w:rPr>
                <w:rFonts w:ascii="Cambria" w:eastAsia="Times New Roman" w:hAnsi="Cambria" w:cs="Times New Roman"/>
                <w:color w:val="000000"/>
              </w:rPr>
              <w:t>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14A83" w14:textId="6AF96D2B" w:rsidR="004D7627" w:rsidRPr="00CB0D94" w:rsidRDefault="00061369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Tooway SAT net Pro modem ili jednakovrijedno / 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Tooway SAT net Pro modem or equivalent value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44288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92510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FB67F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D7627" w:rsidRPr="00CB0D94" w14:paraId="6454BB79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ECE78" w14:textId="21FBDF99" w:rsidR="004D7627" w:rsidRPr="00CB0D94" w:rsidRDefault="009D13DE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1.</w:t>
            </w:r>
            <w:r w:rsidR="00B259F1" w:rsidRPr="00CB0D94">
              <w:rPr>
                <w:rFonts w:ascii="Cambria" w:eastAsia="Times New Roman" w:hAnsi="Cambria" w:cs="Times New Roman"/>
                <w:color w:val="000000"/>
              </w:rPr>
              <w:t>7</w:t>
            </w:r>
            <w:r w:rsidRPr="00CB0D94">
              <w:rPr>
                <w:rFonts w:ascii="Cambria" w:eastAsia="Times New Roman" w:hAnsi="Cambria" w:cs="Times New Roman"/>
                <w:color w:val="000000"/>
              </w:rPr>
              <w:t>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96C1" w14:textId="23435B49" w:rsidR="004D7627" w:rsidRPr="00CB0D94" w:rsidRDefault="009D13DE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UTP RG6 pro kabel 100m ili jednakovrijedno / 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UTP RG6 cable 100m or equivalent value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B36B2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DF033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4D4CD" w14:textId="77777777" w:rsidR="004D7627" w:rsidRPr="00CB0D94" w:rsidRDefault="004D7627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9D13DE" w:rsidRPr="00CB0D94" w14:paraId="605869D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AA2B6" w14:textId="4947EBB3" w:rsidR="009D13DE" w:rsidRPr="00CB0D94" w:rsidRDefault="009D13DE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1.</w:t>
            </w:r>
            <w:r w:rsidR="00B259F1" w:rsidRPr="00CB0D94">
              <w:rPr>
                <w:rFonts w:ascii="Cambria" w:eastAsia="Times New Roman" w:hAnsi="Cambria" w:cs="Times New Roman"/>
                <w:color w:val="000000"/>
              </w:rPr>
              <w:t>8</w:t>
            </w:r>
            <w:r w:rsidRPr="00CB0D94">
              <w:rPr>
                <w:rFonts w:ascii="Cambria" w:eastAsia="Times New Roman" w:hAnsi="Cambria" w:cs="Times New Roman"/>
                <w:color w:val="000000"/>
              </w:rPr>
              <w:t>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12C3" w14:textId="5417B005" w:rsidR="009D13DE" w:rsidRPr="00CB0D94" w:rsidRDefault="009D13DE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>Koaksijalni kabel</w:t>
            </w:r>
            <w:r w:rsidR="0086183D"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 industrijske kvalitete</w:t>
            </w: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 20m / 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Coax cable</w:t>
            </w:r>
            <w:r w:rsidR="004F43E9"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</w:t>
            </w:r>
            <w:r w:rsidR="0086183D"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industrial quality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20m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972DE" w14:textId="77777777" w:rsidR="009D13DE" w:rsidRPr="00CB0D94" w:rsidRDefault="009D13DE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8990C" w14:textId="77777777" w:rsidR="009D13DE" w:rsidRPr="00CB0D94" w:rsidRDefault="009D13DE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E43880" w14:textId="77777777" w:rsidR="009D13DE" w:rsidRPr="00CB0D94" w:rsidRDefault="009D13DE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CB0D94" w:rsidRPr="00CB0D94" w14:paraId="5DD5D553" w14:textId="77777777" w:rsidTr="00CB0D94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6409B" w14:textId="40C8A9C9" w:rsidR="00CB0D94" w:rsidRPr="00CB0D94" w:rsidRDefault="00CB0D94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color w:val="000000"/>
              </w:rPr>
              <w:t>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94981" w14:textId="5CAE4F63" w:rsidR="00CB0D94" w:rsidRPr="00CB0D94" w:rsidRDefault="00CB0D94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Komunikacijski mrežni ormar i prateća oprema uz dostavu i postavljanje / 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Server cabinet and accompanying equipment with delivery and installation</w:t>
            </w: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B97138D" w14:textId="77777777" w:rsidR="00CB0D94" w:rsidRPr="00CB0D94" w:rsidRDefault="00CB0D94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970ED5" w:rsidRPr="00CB0D94" w14:paraId="5E9BE54C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B8422" w14:textId="132DCADA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B496" w14:textId="7E00B1E5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r w:rsidRPr="00CB0D94">
              <w:rPr>
                <w:rFonts w:ascii="Cambria" w:eastAsia="Times New Roman" w:hAnsi="Cambria" w:cs="Times New Roman"/>
                <w:color w:val="5B9BD5" w:themeColor="accent5"/>
              </w:rPr>
              <w:t>Manufacturer/brand: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4CD15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CA2BA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B9C66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970ED5" w:rsidRPr="00CB0D94" w14:paraId="3E7B6B92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EB120" w14:textId="5ECBC551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FEC1" w14:textId="7BB593AD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CB0D94">
              <w:rPr>
                <w:rFonts w:ascii="Cambria" w:eastAsia="Times New Roman" w:hAnsi="Cambria" w:cs="Times New Roman"/>
                <w:color w:val="5B9BD5" w:themeColor="accent5"/>
              </w:rPr>
              <w:t>Model/type: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2FBC4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17D3F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EBB12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970ED5" w:rsidRPr="00CB0D94" w14:paraId="779DE72B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3A932" w14:textId="4A5D9023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BD87" w14:textId="2F8C6AEE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Količina: 1</w:t>
            </w:r>
            <w:r w:rsidR="00773593">
              <w:rPr>
                <w:rFonts w:ascii="Cambria" w:eastAsia="Times New Roman" w:hAnsi="Cambria" w:cs="Times New Roman"/>
                <w:color w:val="000000"/>
              </w:rPr>
              <w:t xml:space="preserve"> set</w:t>
            </w:r>
            <w:r w:rsidRPr="00CB0D94">
              <w:rPr>
                <w:rFonts w:ascii="Cambria" w:eastAsia="Times New Roman" w:hAnsi="Cambria" w:cs="Times New Roman"/>
                <w:color w:val="000000"/>
              </w:rPr>
              <w:t xml:space="preserve">  / </w:t>
            </w:r>
            <w:r w:rsidRPr="00CB0D94">
              <w:rPr>
                <w:rFonts w:ascii="Cambria" w:eastAsia="Times New Roman" w:hAnsi="Cambria" w:cs="Times New Roman"/>
                <w:color w:val="5B9BD5" w:themeColor="accent5"/>
              </w:rPr>
              <w:t>Quantity: 1</w:t>
            </w:r>
            <w:r w:rsidR="00773593">
              <w:rPr>
                <w:rFonts w:ascii="Cambria" w:eastAsia="Times New Roman" w:hAnsi="Cambria" w:cs="Times New Roman"/>
                <w:color w:val="5B9BD5" w:themeColor="accent5"/>
              </w:rPr>
              <w:t xml:space="preserve"> set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9C021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C94E4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8E60A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970ED5" w:rsidRPr="00CB0D94" w14:paraId="0F82FC4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EB732" w14:textId="41907C0B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lastRenderedPageBreak/>
              <w:t>2.1.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B9FA" w14:textId="1A6454E3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Komunikacijsko mrežni ormar manjih dimenzija, dimenzije max 800 x 1300 / 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Server cabinet of smaller dimensions, max dimension 800 x 1300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98A3B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8CE2D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A7EE6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970ED5" w:rsidRPr="00CB0D94" w14:paraId="56C6BF9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02C3E" w14:textId="5EF3796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2.2.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2C80" w14:textId="16194E8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Šuko utična letva / 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Schuko plug strip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E0C95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5810D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4B027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970ED5" w:rsidRPr="00CB0D94" w14:paraId="548FC759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49961" w14:textId="3D85423B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2.3.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06C4" w14:textId="63E63E26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Patch panel 48 port / 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Patch panel 48 port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94F97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F2B26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71BBC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970ED5" w:rsidRPr="00CB0D94" w14:paraId="5FD543E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209DD" w14:textId="3C4A94CB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2.4.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527A" w14:textId="12EB1EFC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Kanalice i potrošni materijal / 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>Cable ducts and supplies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60170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20DEA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C96E3" w14:textId="77777777" w:rsidR="00970ED5" w:rsidRPr="00CB0D94" w:rsidRDefault="00970ED5" w:rsidP="00970ED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CB0D94" w:rsidRPr="00CB0D94" w14:paraId="6E81FA09" w14:textId="77777777" w:rsidTr="00CB0D94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CD1DE" w14:textId="57A24FF0" w:rsidR="00CB0D94" w:rsidRPr="00CB0D94" w:rsidRDefault="00CB0D94" w:rsidP="00B259F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color w:val="000000"/>
              </w:rPr>
              <w:t>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BF6A9" w14:textId="4C1FCF13" w:rsidR="00CB0D94" w:rsidRPr="00CB0D94" w:rsidRDefault="00CB0D94" w:rsidP="00B259F1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Mini barovi sa senzorom / 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Mini bars with sensor</w:t>
            </w: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CB04C0" w14:textId="77777777" w:rsidR="00CB0D94" w:rsidRPr="00CB0D94" w:rsidRDefault="00CB0D94" w:rsidP="00B259F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</w:tr>
      <w:tr w:rsidR="00B259F1" w:rsidRPr="00CB0D94" w14:paraId="3D7F17CC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F90BE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CCBF" w14:textId="7B57DB40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r w:rsidRPr="00CB0D94">
              <w:rPr>
                <w:rFonts w:ascii="Cambria" w:eastAsia="Times New Roman" w:hAnsi="Cambria" w:cs="Times New Roman"/>
                <w:color w:val="5B9BD5" w:themeColor="accent5"/>
              </w:rPr>
              <w:t>Manufacturer/brand: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BA1D0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B8E04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4070B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B259F1" w:rsidRPr="00CB0D94" w14:paraId="3AE5E7EB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89D21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A5C5" w14:textId="74830DCC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 xml:space="preserve">Model/tip: / </w:t>
            </w:r>
            <w:r w:rsidRPr="00CB0D94">
              <w:rPr>
                <w:rFonts w:ascii="Cambria" w:eastAsia="Times New Roman" w:hAnsi="Cambria" w:cs="Times New Roman"/>
                <w:color w:val="5B9BD5" w:themeColor="accent5"/>
              </w:rPr>
              <w:t>Model/type: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46BE7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C67FD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E447B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B259F1" w:rsidRPr="00CB0D94" w14:paraId="3861DB71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6539E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991C" w14:textId="62B54C82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Količina: 10  /</w:t>
            </w:r>
            <w:r w:rsidRPr="00CB0D94">
              <w:rPr>
                <w:rFonts w:ascii="Cambria" w:eastAsia="Times New Roman" w:hAnsi="Cambria" w:cs="Times New Roman"/>
                <w:color w:val="5B9BD5" w:themeColor="accent5"/>
              </w:rPr>
              <w:t xml:space="preserve"> Quantity: 10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8904D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4BE9A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0F19D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B259F1" w:rsidRPr="00CB0D94" w14:paraId="2AD2635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F09A2" w14:textId="6438BE1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3.1.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73ED" w14:textId="31C4F7BF" w:rsidR="00B259F1" w:rsidRPr="00CB0D94" w:rsidRDefault="00B259F1" w:rsidP="00684BC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color w:val="000000"/>
              </w:rPr>
              <w:t>Tehničke karakteristike: mi</w:t>
            </w:r>
            <w:r w:rsidR="0088305F" w:rsidRPr="00CB0D94">
              <w:rPr>
                <w:rFonts w:ascii="Cambria" w:eastAsia="Times New Roman" w:hAnsi="Cambria" w:cs="Times New Roman"/>
                <w:color w:val="000000"/>
              </w:rPr>
              <w:t xml:space="preserve">nimalno 30 litara volumen, minimalno jedna polica, mogućnost podešavanja police, niska razina buke, napajanje 220 – 240 V, boja crna / </w:t>
            </w:r>
            <w:r w:rsidR="0088305F" w:rsidRPr="00CB0D94">
              <w:rPr>
                <w:rFonts w:ascii="Cambria" w:eastAsia="Times New Roman" w:hAnsi="Cambria" w:cs="Times New Roman"/>
                <w:color w:val="5B9BD5" w:themeColor="accent5"/>
              </w:rPr>
              <w:t>Technical characteristics</w:t>
            </w:r>
            <w:r w:rsidR="00684BC0" w:rsidRPr="00CB0D94">
              <w:rPr>
                <w:rFonts w:ascii="Cambria" w:eastAsia="Times New Roman" w:hAnsi="Cambria" w:cs="Times New Roman"/>
                <w:color w:val="5B9BD5" w:themeColor="accent5"/>
              </w:rPr>
              <w:t>: min 30l in volume, min one shelf, adjustable shelf, low noise level, power suply 220 – 240 V, color black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93066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2A913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D0696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CB0D94" w:rsidRPr="00CB0D94" w14:paraId="37562F4B" w14:textId="77777777" w:rsidTr="00CB0D94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D7440" w14:textId="4E05F88D" w:rsidR="00CB0D94" w:rsidRPr="00CB0D94" w:rsidRDefault="00CB0D94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color w:val="000000"/>
              </w:rPr>
              <w:t>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198EA" w14:textId="50CE5742" w:rsidR="00CB0D94" w:rsidRPr="00CB0D94" w:rsidRDefault="00CB0D94" w:rsidP="00CB0D9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Instalacija novonabavljene računalne opreme / 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Installation of newly acquired computer equipment</w:t>
            </w:r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681764" w14:textId="77777777" w:rsidR="00CB0D94" w:rsidRPr="00CB0D94" w:rsidRDefault="00CB0D94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6F1488" w:rsidRPr="00CB0D94" w14:paraId="5C410B1D" w14:textId="77777777" w:rsidTr="006F148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ACC012" w14:textId="77777777" w:rsidR="006F1488" w:rsidRPr="00CB0D94" w:rsidRDefault="006F1488" w:rsidP="00B259F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15C43" w14:textId="5405CBC2" w:rsidR="006F1488" w:rsidRPr="00CB0D94" w:rsidRDefault="006F1488" w:rsidP="00B259F1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>K</w:t>
            </w:r>
            <w:r w:rsidR="0022233E">
              <w:rPr>
                <w:rFonts w:ascii="Cambria" w:eastAsia="Times New Roman" w:hAnsi="Cambria" w:cs="Times New Roman"/>
                <w:b/>
                <w:bCs/>
                <w:color w:val="000000"/>
              </w:rPr>
              <w:t>oličina: 1 usluga</w:t>
            </w:r>
            <w:r w:rsidRPr="00CB0D94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/ </w:t>
            </w:r>
            <w:r w:rsidRPr="0022233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Quantity: 1</w:t>
            </w:r>
            <w:r w:rsidR="0022233E" w:rsidRPr="0022233E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service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4D5B7F" w14:textId="77777777" w:rsidR="006F1488" w:rsidRPr="00CB0D94" w:rsidRDefault="006F1488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BBD2DB" w14:textId="77777777" w:rsidR="006F1488" w:rsidRPr="00CB0D94" w:rsidRDefault="006F1488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4EC7B" w14:textId="77777777" w:rsidR="006F1488" w:rsidRPr="00CB0D94" w:rsidRDefault="006F1488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B259F1" w:rsidRPr="00CB0D94" w14:paraId="03B1702F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62C56" w14:textId="55CC26F8" w:rsidR="00B259F1" w:rsidRPr="00CB0D94" w:rsidRDefault="005F3C8C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4.1.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9291" w14:textId="3B5B52B4" w:rsidR="00B259F1" w:rsidRPr="005F3C8C" w:rsidRDefault="005F3C8C" w:rsidP="005F3C8C">
            <w:pPr>
              <w:spacing w:after="0" w:line="240" w:lineRule="auto"/>
              <w:rPr>
                <w:rFonts w:ascii="Cambria" w:eastAsia="Times New Roman" w:hAnsi="Cambria" w:cs="Times New Roman"/>
                <w:color w:val="5B9BD5" w:themeColor="accent5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 xml:space="preserve">Instalacija sve opreme iz grupe Hardware / </w:t>
            </w:r>
            <w:r>
              <w:rPr>
                <w:rFonts w:ascii="Cambria" w:eastAsia="Times New Roman" w:hAnsi="Cambria" w:cs="Times New Roman"/>
                <w:color w:val="5B9BD5" w:themeColor="accent5"/>
              </w:rPr>
              <w:t>Installation of all equipment from group Hardware</w:t>
            </w:r>
            <w:bookmarkStart w:id="0" w:name="_GoBack"/>
            <w:bookmarkEnd w:id="0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6AEC6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BC390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A38C9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5F3C8C" w:rsidRPr="00CB0D94" w14:paraId="4EBD992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04198" w14:textId="25E31C48" w:rsidR="005F3C8C" w:rsidRDefault="005F3C8C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4.2.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4540" w14:textId="36AFB347" w:rsidR="005F3C8C" w:rsidRPr="005F3C8C" w:rsidRDefault="005F3C8C" w:rsidP="005F3C8C">
            <w:pPr>
              <w:spacing w:after="0" w:line="240" w:lineRule="auto"/>
              <w:rPr>
                <w:rFonts w:ascii="Cambria" w:eastAsia="Times New Roman" w:hAnsi="Cambria" w:cs="Times New Roman"/>
                <w:color w:val="5B9BD5" w:themeColor="accent5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 xml:space="preserve">Instalacija sve opreme iz grupe Implementacija / </w:t>
            </w:r>
            <w:r>
              <w:rPr>
                <w:rFonts w:ascii="Cambria" w:eastAsia="Times New Roman" w:hAnsi="Cambria" w:cs="Times New Roman"/>
                <w:color w:val="5B9BD5" w:themeColor="accent5"/>
              </w:rPr>
              <w:t>Installation of all equipment  from group Implementation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A8AB5" w14:textId="77777777" w:rsidR="005F3C8C" w:rsidRPr="00CB0D94" w:rsidRDefault="005F3C8C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80F4F" w14:textId="77777777" w:rsidR="005F3C8C" w:rsidRPr="00CB0D94" w:rsidRDefault="005F3C8C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FFD1B" w14:textId="77777777" w:rsidR="005F3C8C" w:rsidRPr="00CB0D94" w:rsidRDefault="005F3C8C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B259F1" w:rsidRPr="00CB0D94" w14:paraId="4FA3C641" w14:textId="77777777" w:rsidTr="00CB0D94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7E7B2" w14:textId="3D72086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color w:val="000000"/>
              </w:rPr>
              <w:lastRenderedPageBreak/>
              <w:t>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5391" w14:textId="14FAE3B5" w:rsidR="00FA474C" w:rsidRPr="00FA474C" w:rsidRDefault="00FA474C" w:rsidP="00FA474C">
            <w:pPr>
              <w:spacing w:after="5" w:line="240" w:lineRule="auto"/>
              <w:ind w:left="10" w:hanging="10"/>
              <w:jc w:val="both"/>
              <w:rPr>
                <w:rFonts w:ascii="Cambria" w:eastAsia="Calibri" w:hAnsi="Cambria" w:cs="Calibri"/>
                <w:color w:val="5B9BD5"/>
                <w:lang w:eastAsia="hr-HR"/>
              </w:rPr>
            </w:pPr>
            <w:r w:rsidRPr="00FA474C">
              <w:rPr>
                <w:rFonts w:ascii="Cambria" w:eastAsia="Calibri" w:hAnsi="Cambria" w:cs="Calibri"/>
                <w:lang w:eastAsia="hr-HR"/>
              </w:rPr>
              <w:t xml:space="preserve">Isporuka za sve stavke Grupe 2 na adresi Naručitelja u roku od najviše 30 dana / </w:t>
            </w:r>
            <w:r w:rsidRPr="00FA474C">
              <w:rPr>
                <w:rFonts w:ascii="Cambria" w:eastAsia="Calibri" w:hAnsi="Cambria" w:cs="Calibri"/>
                <w:color w:val="5B9BD5"/>
                <w:lang w:eastAsia="hr-HR"/>
              </w:rPr>
              <w:t>Delivery of all items of Lot 2 at the address of the Contracting Authority in max 30 days;</w:t>
            </w:r>
          </w:p>
          <w:p w14:paraId="12B05449" w14:textId="74FDF365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E25FA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396CC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D0C0B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B259F1" w:rsidRPr="00CB0D94" w14:paraId="2963FAA1" w14:textId="77777777" w:rsidTr="00CB0D94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FEC78" w14:textId="5AB93048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color w:val="000000"/>
              </w:rPr>
              <w:t>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6E5E" w14:textId="55F66588" w:rsidR="00B259F1" w:rsidRPr="00CB0D94" w:rsidRDefault="00FA474C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DB001D">
              <w:rPr>
                <w:rFonts w:ascii="Cambria" w:hAnsi="Cambria"/>
              </w:rPr>
              <w:t xml:space="preserve">Istovar za sve stavke Grupe 2 na adresi Naručitelja u roku od najviše 1 dan </w:t>
            </w:r>
            <w:r>
              <w:rPr>
                <w:rFonts w:ascii="Cambria" w:hAnsi="Cambria"/>
              </w:rPr>
              <w:t>nakon isporuke</w:t>
            </w:r>
            <w:r w:rsidRPr="00DB001D">
              <w:rPr>
                <w:rFonts w:ascii="Cambria" w:hAnsi="Cambria"/>
              </w:rPr>
              <w:t xml:space="preserve">/ </w:t>
            </w:r>
            <w:r w:rsidRPr="00FA474C">
              <w:rPr>
                <w:rFonts w:ascii="Cambria" w:hAnsi="Cambria"/>
                <w:color w:val="5B9BD5" w:themeColor="accent5"/>
              </w:rPr>
              <w:t>Unload of all items of Lot 2 at the address of the Contracting Authority in max 1 day after the delivery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9DD86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41B31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42BE0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B259F1" w:rsidRPr="00CB0D94" w14:paraId="343C4273" w14:textId="77777777" w:rsidTr="00CB0D94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F56CF" w14:textId="0D7E2455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color w:val="000000"/>
              </w:rPr>
              <w:t>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1744" w14:textId="26E57F14" w:rsidR="00B259F1" w:rsidRPr="00CB0D94" w:rsidRDefault="00FA474C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FA474C">
              <w:rPr>
                <w:rFonts w:ascii="Cambria" w:eastAsia="Times New Roman" w:hAnsi="Cambria" w:cs="Times New Roman"/>
                <w:color w:val="000000"/>
              </w:rPr>
              <w:t xml:space="preserve">Implementacija svih stavki  Grupe 2, na adresi Naručitelja u roku od  najviše 5 dana nakon istovara / </w:t>
            </w:r>
            <w:r w:rsidRPr="00FA474C">
              <w:rPr>
                <w:rFonts w:ascii="Cambria" w:eastAsia="Times New Roman" w:hAnsi="Cambria" w:cs="Times New Roman"/>
                <w:color w:val="5B9BD5" w:themeColor="accent5"/>
              </w:rPr>
              <w:t>Implementation of all items of Lot 2 at the address of the Contracting Authority in</w:t>
            </w:r>
            <w:r>
              <w:rPr>
                <w:rFonts w:ascii="Cambria" w:eastAsia="Times New Roman" w:hAnsi="Cambria" w:cs="Times New Roman"/>
                <w:color w:val="5B9BD5" w:themeColor="accent5"/>
              </w:rPr>
              <w:t xml:space="preserve"> max 5 days after the unloading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38444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5E226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17D2F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B259F1" w:rsidRPr="00CB0D94" w14:paraId="306C7430" w14:textId="77777777" w:rsidTr="00CB0D94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2D9DE" w14:textId="3B44931E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color w:val="000000"/>
              </w:rPr>
              <w:t>8.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0A1E" w14:textId="0AE5823A" w:rsidR="00B259F1" w:rsidRPr="00CB0D94" w:rsidRDefault="00FA474C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FA474C">
              <w:rPr>
                <w:rFonts w:ascii="Cambria" w:eastAsia="Times New Roman" w:hAnsi="Cambria" w:cs="Times New Roman"/>
                <w:color w:val="000000"/>
              </w:rPr>
              <w:t xml:space="preserve">Puštanje u rad za sve stavke Grupe 2  na adresi Naručitelja u roku od najviše 5 dana nakon implementacije/ </w:t>
            </w:r>
            <w:r w:rsidRPr="00FA474C">
              <w:rPr>
                <w:rFonts w:ascii="Cambria" w:eastAsia="Times New Roman" w:hAnsi="Cambria" w:cs="Times New Roman"/>
                <w:color w:val="5B9BD5" w:themeColor="accent5"/>
              </w:rPr>
              <w:t>Commissioning of all items in Lot 2 at the address of the Contracting Authority in max 5 days after the implementation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9ED07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6EE00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54248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B259F1" w:rsidRPr="00CB0D94" w14:paraId="019CE3B1" w14:textId="77777777" w:rsidTr="00CB0D94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F9BE0" w14:textId="41E08116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color w:val="000000"/>
              </w:rPr>
              <w:t>9.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AB61" w14:textId="1CB390E3" w:rsidR="00B259F1" w:rsidRPr="00CB0D94" w:rsidRDefault="00FA474C" w:rsidP="00B259F1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A474C">
              <w:rPr>
                <w:rFonts w:ascii="Cambria" w:eastAsia="Times New Roman" w:hAnsi="Cambria" w:cs="Times New Roman"/>
                <w:bCs/>
                <w:color w:val="000000"/>
              </w:rPr>
              <w:t xml:space="preserve">Edukacija korisnika tijekom 1 dana u prostorijama Naručitelja nakon puštanja u rad / </w:t>
            </w:r>
            <w:r w:rsidRPr="00FA474C">
              <w:rPr>
                <w:rFonts w:ascii="Cambria" w:eastAsia="Times New Roman" w:hAnsi="Cambria" w:cs="Times New Roman"/>
                <w:bCs/>
                <w:color w:val="5B9BD5" w:themeColor="accent5"/>
              </w:rPr>
              <w:t>Education of users during 1 day in the office of the Contracting Authority after the commissioning.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A7B43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776B4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1CE88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B259F1" w:rsidRPr="00CB0D94" w14:paraId="4A3C2249" w14:textId="77777777" w:rsidTr="00CB0D94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E6A44" w14:textId="4A2ADF94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/>
                <w:color w:val="000000"/>
              </w:rPr>
              <w:t>10.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89C4" w14:textId="7488E763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Jamstvo za sve stavke Grupe </w:t>
            </w:r>
            <w:r w:rsidR="0022233E">
              <w:rPr>
                <w:rFonts w:ascii="Cambria" w:eastAsia="Times New Roman" w:hAnsi="Cambria" w:cs="Times New Roman"/>
                <w:bCs/>
                <w:color w:val="000000"/>
              </w:rPr>
              <w:t>2</w:t>
            </w:r>
            <w:r w:rsidRPr="00CB0D94">
              <w:rPr>
                <w:rFonts w:ascii="Cambria" w:eastAsia="Times New Roman" w:hAnsi="Cambria" w:cs="Times New Roman"/>
                <w:bCs/>
                <w:color w:val="000000"/>
              </w:rPr>
              <w:t xml:space="preserve">, sukladno Dokumentaciji za nadmetanje, minimalno 12 mjeseci / 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Warranty for all items of </w:t>
            </w:r>
            <w:r w:rsidR="0022233E">
              <w:rPr>
                <w:rFonts w:ascii="Cambria" w:eastAsia="Times New Roman" w:hAnsi="Cambria" w:cs="Times New Roman"/>
                <w:bCs/>
                <w:color w:val="5B9BD5" w:themeColor="accent5"/>
              </w:rPr>
              <w:t>Lot 2, according to Tender</w:t>
            </w:r>
            <w:r w:rsidRPr="00CB0D94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Documentation, minimum 12 months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526F3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43722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3DAC2" w14:textId="77777777" w:rsidR="00B259F1" w:rsidRPr="00CB0D94" w:rsidRDefault="00B259F1" w:rsidP="00B259F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</w:tbl>
    <w:p w14:paraId="31C539B8" w14:textId="69F919E6" w:rsidR="004E5DC8" w:rsidRDefault="004E5DC8" w:rsidP="004E5DC8">
      <w:pPr>
        <w:rPr>
          <w:rFonts w:ascii="Cambria" w:hAnsi="Cambria" w:cs="Times New Roman"/>
        </w:rPr>
      </w:pPr>
    </w:p>
    <w:sectPr w:rsidR="004E5DC8" w:rsidSect="00D74F1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D0A90" w14:textId="77777777" w:rsidR="00A1092F" w:rsidRDefault="00A1092F">
      <w:pPr>
        <w:spacing w:after="0" w:line="240" w:lineRule="auto"/>
      </w:pPr>
      <w:r>
        <w:separator/>
      </w:r>
    </w:p>
  </w:endnote>
  <w:endnote w:type="continuationSeparator" w:id="0">
    <w:p w14:paraId="0441D50F" w14:textId="77777777" w:rsidR="00A1092F" w:rsidRDefault="00A10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939FB" w14:textId="25651C9E" w:rsidR="00D74F10" w:rsidRDefault="009E5B93" w:rsidP="009E5B93">
    <w:pPr>
      <w:pStyle w:val="Footer"/>
      <w:tabs>
        <w:tab w:val="clear" w:pos="9072"/>
        <w:tab w:val="right" w:pos="10490"/>
      </w:tabs>
      <w:ind w:left="-1417" w:right="-567"/>
      <w:jc w:val="center"/>
    </w:pPr>
    <w:r>
      <w:rPr>
        <w:rFonts w:ascii="Cambria" w:hAnsi="Cambria" w:cs="Cambria"/>
        <w:color w:val="000000"/>
        <w:sz w:val="16"/>
      </w:rPr>
      <w:t>PROJEKT SUFINANCIRA EUROPSKA UNIJA IZ EUROPSKOG FONDA ZA REGIONALNI RAZVOJ. SADRŽAJ OVOG DOKUMENTA ISKLJUČIVA JE ODGOVORNOST OPG-a YERKOVICH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45282" w14:textId="77777777" w:rsidR="00A1092F" w:rsidRDefault="00A1092F">
      <w:pPr>
        <w:spacing w:after="0" w:line="240" w:lineRule="auto"/>
      </w:pPr>
      <w:r>
        <w:separator/>
      </w:r>
    </w:p>
  </w:footnote>
  <w:footnote w:type="continuationSeparator" w:id="0">
    <w:p w14:paraId="166BC0DE" w14:textId="77777777" w:rsidR="00A1092F" w:rsidRDefault="00A10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2E32C" w14:textId="7B3E23D1" w:rsidR="009E5B93" w:rsidRDefault="009E5B93" w:rsidP="009E5B93">
    <w:pPr>
      <w:pStyle w:val="Header"/>
      <w:tabs>
        <w:tab w:val="clear" w:pos="4536"/>
        <w:tab w:val="clear" w:pos="9072"/>
        <w:tab w:val="left" w:pos="11685"/>
      </w:tabs>
    </w:pPr>
    <w:r w:rsidRPr="009E5B93"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E74C859" wp14:editId="561CF276">
          <wp:simplePos x="0" y="0"/>
          <wp:positionH relativeFrom="column">
            <wp:posOffset>6834505</wp:posOffset>
          </wp:positionH>
          <wp:positionV relativeFrom="paragraph">
            <wp:posOffset>-173355</wp:posOffset>
          </wp:positionV>
          <wp:extent cx="4371975" cy="1247775"/>
          <wp:effectExtent l="0" t="0" r="9525" b="9525"/>
          <wp:wrapThrough wrapText="bothSides">
            <wp:wrapPolygon edited="0">
              <wp:start x="0" y="0"/>
              <wp:lineTo x="0" y="21435"/>
              <wp:lineTo x="21553" y="21435"/>
              <wp:lineTo x="21553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71975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00B87"/>
    <w:multiLevelType w:val="hybridMultilevel"/>
    <w:tmpl w:val="555057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C8"/>
    <w:rsid w:val="00000A68"/>
    <w:rsid w:val="00006EB9"/>
    <w:rsid w:val="00056AAE"/>
    <w:rsid w:val="00061369"/>
    <w:rsid w:val="00092A8A"/>
    <w:rsid w:val="00117A05"/>
    <w:rsid w:val="00130B14"/>
    <w:rsid w:val="00176F50"/>
    <w:rsid w:val="001A52BD"/>
    <w:rsid w:val="001B798F"/>
    <w:rsid w:val="001F59A8"/>
    <w:rsid w:val="0022233E"/>
    <w:rsid w:val="002B5F2A"/>
    <w:rsid w:val="003B21DD"/>
    <w:rsid w:val="003C7A31"/>
    <w:rsid w:val="00423445"/>
    <w:rsid w:val="00425B9B"/>
    <w:rsid w:val="00466C34"/>
    <w:rsid w:val="00492E72"/>
    <w:rsid w:val="004D7627"/>
    <w:rsid w:val="004E5DC8"/>
    <w:rsid w:val="004F43E9"/>
    <w:rsid w:val="00595E03"/>
    <w:rsid w:val="005F3C8C"/>
    <w:rsid w:val="00633053"/>
    <w:rsid w:val="00684BC0"/>
    <w:rsid w:val="006B0BCB"/>
    <w:rsid w:val="006C0B3B"/>
    <w:rsid w:val="006F1488"/>
    <w:rsid w:val="00741AFF"/>
    <w:rsid w:val="00751C6C"/>
    <w:rsid w:val="00773593"/>
    <w:rsid w:val="007C04F8"/>
    <w:rsid w:val="008007A7"/>
    <w:rsid w:val="00823B41"/>
    <w:rsid w:val="00843654"/>
    <w:rsid w:val="0086183D"/>
    <w:rsid w:val="0088305F"/>
    <w:rsid w:val="00887823"/>
    <w:rsid w:val="008E6A71"/>
    <w:rsid w:val="00970ED5"/>
    <w:rsid w:val="009D13DE"/>
    <w:rsid w:val="009E5B93"/>
    <w:rsid w:val="00A1092F"/>
    <w:rsid w:val="00A4764A"/>
    <w:rsid w:val="00A97A34"/>
    <w:rsid w:val="00B05006"/>
    <w:rsid w:val="00B259F1"/>
    <w:rsid w:val="00B433F4"/>
    <w:rsid w:val="00B9522D"/>
    <w:rsid w:val="00C53C4F"/>
    <w:rsid w:val="00CB0D94"/>
    <w:rsid w:val="00CF0702"/>
    <w:rsid w:val="00CF72CA"/>
    <w:rsid w:val="00D039B7"/>
    <w:rsid w:val="00D17ED5"/>
    <w:rsid w:val="00D74F10"/>
    <w:rsid w:val="00D943AE"/>
    <w:rsid w:val="00DD48A5"/>
    <w:rsid w:val="00DE07A9"/>
    <w:rsid w:val="00E74DD1"/>
    <w:rsid w:val="00E97987"/>
    <w:rsid w:val="00EC21E3"/>
    <w:rsid w:val="00F255AA"/>
    <w:rsid w:val="00F31B19"/>
    <w:rsid w:val="00F6477F"/>
    <w:rsid w:val="00FA474C"/>
    <w:rsid w:val="00FB0F4E"/>
    <w:rsid w:val="00FD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8151C"/>
  <w15:chartTrackingRefBased/>
  <w15:docId w15:val="{87F24D39-BE5E-404B-BFD6-1E94350A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5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E5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5D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D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DC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E5DC8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4E5DC8"/>
    <w:pPr>
      <w:widowControl w:val="0"/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4E5D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DC8"/>
  </w:style>
  <w:style w:type="paragraph" w:styleId="Footer">
    <w:name w:val="footer"/>
    <w:basedOn w:val="Normal"/>
    <w:link w:val="FooterChar"/>
    <w:unhideWhenUsed/>
    <w:rsid w:val="004E5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2017-05-23T13:17:00Z</dcterms:created>
  <dcterms:modified xsi:type="dcterms:W3CDTF">2017-05-23T13:17:00Z</dcterms:modified>
</cp:coreProperties>
</file>